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color w:val="000000"/>
          <w:sz w:val="30"/>
          <w:szCs w:val="30"/>
        </w:rPr>
      </w:pPr>
      <w:r>
        <w:rPr>
          <w:rFonts w:eastAsia="HelveticaNeue" w:cs="HelveticaNeue" w:ascii="HelveticaNeue" w:hAnsi="HelveticaNeue"/>
          <w:color w:val="000000"/>
          <w:sz w:val="30"/>
          <w:szCs w:val="30"/>
        </w:rPr>
        <w:drawing>
          <wp:inline distT="0" distB="0" distL="0" distR="0">
            <wp:extent cx="1826895" cy="1826895"/>
            <wp:effectExtent l="0" t="0" r="0" b="0"/>
            <wp:docPr id="1" name="Object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30"/>
          <w:szCs w:val="30"/>
        </w:rPr>
      </w:pP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CLINIQUE JURIDIQUE DE L’UNIVERSITÉ D’ORLÉANS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FORMULAIRE DE CANDIDATURE</w:t>
      </w: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  <w:lang w:val="fr-FR"/>
        </w:rPr>
        <w:t xml:space="preserve">  </w:t>
      </w: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Année universitaire 2025/2026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HelveticaNeue" w:cs="HelveticaNeue" w:ascii="HelveticaNeue" w:hAnsi="HelveticaNeue"/>
          <w:b/>
          <w:bCs/>
          <w:color w:val="000000"/>
          <w:sz w:val="24"/>
          <w:szCs w:val="24"/>
        </w:rPr>
        <w:t>Clinicien / Clinicienne</w:t>
      </w:r>
      <w:r>
        <w:rPr>
          <w:rFonts w:eastAsia="HelveticaNeue" w:cs="HelveticaNeue" w:ascii="HelveticaNeue" w:hAnsi="HelveticaNeue"/>
          <w:b/>
          <w:bCs/>
          <w:color w:val="000000"/>
          <w:sz w:val="24"/>
          <w:szCs w:val="24"/>
          <w:lang w:val="fr-FR"/>
        </w:rPr>
        <w:t xml:space="preserve">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Devenir clinicien ou clinicienne au sein de la Clinique Juridique de l’Université d’Orléans, c’est s’engager dans une démarche à la fois citoyenne et formatrice.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Vous participerez activement à la promotion de l’accès au droit en mettant vos connaissances au service des justiciables, tout en approfondissant votre apprentissage pratique du droit.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L’expérience clinique vous permettra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de confronter la théorie juridique aux réalités du terrain,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de travailler en équipe avec d’autres étudiants de tous niveaux,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de développer vos compétences d’analyse, de rédaction et d’écoute,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et de renforcer votre sens de la déontologie et du service public de la justice.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Le clinicien s’engage à respecter la charte de la Clinique Juridique de l’Université d’Orléans,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jointe au formulaire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, ainsi que le monopole légal de la profession d’avocat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régi par l’article 54 de la loi du 31 décembre 1971.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Informations personnelles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Nom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Prénom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Année d’étude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Parcours / Spécialité (pour les Licences 3 et Masters)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Adresse e-mail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Numéro de téléphone :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fr-FR"/>
        </w:rPr>
        <w:t xml:space="preserve">Choix du pôle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Quel(s) pôle(s) vous intéresse(nt) ? (maximum 2 choix):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Pôle Droit des affaires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Pôle Droit pénal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Pôle Droit social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Pôle Droit public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Pôle Droit civil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Motivations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Merci de répondre brièvement aux questions suivantes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53" w:leader="none"/>
        </w:tabs>
        <w:bidi w:val="0"/>
        <w:spacing w:before="0" w:after="0"/>
        <w:ind w:hanging="253" w:left="253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Quelles sont vos motivations pour rejoindre la Clinique Juridique de l’Université d’Orléans ?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2. Quelles compétences ou expériences souhaitez-vous mobiliser au sein de la Clinique ?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3. Avez-vous déjà participé à un projet associatif, d’accès au droit ou de médiation ? Si oui, précisez lequel.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Je reconnais avoir pris connaissance des informations relatives au traitement de mes données personnelles figurant sur le site de la Clinique Juridique de l’Université d’Orléans.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Fait à :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Le :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Signature : 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</w:rPr>
        <w:t>(Tout dossier incomplet ou hors délai ne pourra être examiné. Les candidatures retenues seront contactées</w:t>
      </w: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  <w:lang w:val="fr-FR"/>
        </w:rPr>
        <w:t xml:space="preserve"> par les coordinateurs de pôle</w:t>
      </w: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</w:rPr>
        <w:t>.)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Neue">
    <w:charset w:val="00"/>
    <w:family w:val="auto"/>
    <w:pitch w:val="default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BulletSymbols">
    <w:name w:val="Bullet_Symbols"/>
    <w:qFormat/>
    <w:rPr/>
  </w:style>
  <w:style w:type="character" w:styleId="NumberingSymbols">
    <w:name w:val="Numbering_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